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206" w:hanging="141"/>
        <w:jc w:val="left"/>
        <w:rPr>
          <w:sz w:val="23"/>
          <w:szCs w:val="23"/>
        </w:rPr>
        <w:outlineLvl w:val="0"/>
      </w:pPr>
      <w:r>
        <w:rPr>
          <w:sz w:val="23"/>
          <w:szCs w:val="23"/>
        </w:rPr>
        <w:t xml:space="preserve">            </w:t>
      </w:r>
      <w:r>
        <w:rPr>
          <w:sz w:val="23"/>
          <w:szCs w:val="23"/>
        </w:rPr>
        <w:t xml:space="preserve">Приложение  </w:t>
      </w:r>
      <w:r/>
    </w:p>
    <w:p>
      <w:pPr>
        <w:ind w:left="10206" w:hanging="141"/>
        <w:jc w:val="left"/>
        <w:rPr>
          <w:sz w:val="23"/>
          <w:szCs w:val="23"/>
        </w:rPr>
        <w:outlineLvl w:val="0"/>
      </w:pPr>
      <w:r>
        <w:rPr>
          <w:sz w:val="23"/>
          <w:szCs w:val="23"/>
        </w:rPr>
        <w:t xml:space="preserve">            </w:t>
      </w:r>
      <w:r>
        <w:rPr>
          <w:sz w:val="23"/>
          <w:szCs w:val="23"/>
        </w:rPr>
        <w:t xml:space="preserve">к</w:t>
      </w:r>
      <w:r>
        <w:rPr>
          <w:sz w:val="23"/>
          <w:szCs w:val="23"/>
        </w:rPr>
        <w:t xml:space="preserve"> муниципальной программе </w:t>
      </w:r>
      <w:r>
        <w:rPr>
          <w:sz w:val="23"/>
          <w:szCs w:val="23"/>
        </w:rPr>
        <w:t xml:space="preserve"> </w:t>
      </w:r>
      <w:r/>
    </w:p>
    <w:p>
      <w:pPr>
        <w:jc w:val="left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«Переселение граждан из аварийного</w:t>
      </w:r>
      <w:r>
        <w:rPr>
          <w:sz w:val="23"/>
          <w:szCs w:val="23"/>
        </w:rPr>
      </w:r>
      <w:r/>
    </w:p>
    <w:p>
      <w:pPr>
        <w:jc w:val="left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жилищного фонда, признанного </w:t>
      </w:r>
      <w:r>
        <w:rPr>
          <w:sz w:val="23"/>
          <w:szCs w:val="23"/>
        </w:rPr>
        <w:t xml:space="preserve">в          </w:t>
      </w:r>
      <w:r>
        <w:rPr>
          <w:sz w:val="23"/>
          <w:szCs w:val="23"/>
        </w:rPr>
      </w:r>
      <w:r/>
    </w:p>
    <w:p>
      <w:pPr>
        <w:jc w:val="left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период с 1 января 2017 года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</w:r>
      <w:r/>
    </w:p>
    <w:p>
      <w:pPr>
        <w:jc w:val="left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до 1 января 2022 года, в Копейском    </w:t>
      </w:r>
      <w:r>
        <w:rPr>
          <w:sz w:val="23"/>
          <w:szCs w:val="23"/>
          <w:highlight w:val="none"/>
        </w:rPr>
      </w:r>
      <w:r/>
    </w:p>
    <w:p>
      <w:pPr>
        <w:jc w:val="left"/>
        <w:shd w:val="clear" w:color="auto" w:fill="ffffff" w:themeFill="background1"/>
        <w:tabs>
          <w:tab w:val="left" w:pos="6697" w:leader="none"/>
        </w:tabs>
        <w:rPr>
          <w:sz w:val="23"/>
          <w:szCs w:val="23"/>
          <w:highlight w:val="none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городском округе</w:t>
      </w:r>
      <w:r>
        <w:rPr>
          <w:sz w:val="23"/>
          <w:szCs w:val="23"/>
        </w:rPr>
        <w:t xml:space="preserve">»</w:t>
      </w:r>
      <w:r/>
    </w:p>
    <w:p>
      <w:pPr>
        <w:ind w:left="10206" w:hanging="141"/>
        <w:jc w:val="right"/>
        <w:rPr>
          <w:sz w:val="23"/>
          <w:szCs w:val="23"/>
        </w:rPr>
        <w:outlineLvl w:val="0"/>
      </w:pPr>
      <w:r>
        <w:rPr>
          <w:sz w:val="23"/>
          <w:szCs w:val="23"/>
        </w:rPr>
      </w:r>
      <w:r/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ПАСПОРТ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м</w:t>
      </w:r>
      <w:r>
        <w:rPr>
          <w:sz w:val="23"/>
          <w:szCs w:val="23"/>
        </w:rPr>
        <w:t xml:space="preserve">униципальной</w:t>
      </w:r>
      <w:r>
        <w:rPr>
          <w:sz w:val="23"/>
          <w:szCs w:val="23"/>
        </w:rPr>
        <w:t xml:space="preserve"> программы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shd w:val="clear" w:color="auto" w:fill="ffffff" w:themeFill="background1"/>
        <w:tabs>
          <w:tab w:val="left" w:pos="6697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«Переселение граждан из аварийного жилищного фонда, признанного таковым в период с 1 января 2017 года до 1 января 2022 года, в Копейском городском округе»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35"/>
        <w:numPr>
          <w:ilvl w:val="0"/>
          <w:numId w:val="5"/>
        </w:num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Основные положения</w:t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5350" w:type="pct"/>
        <w:tblInd w:w="-459" w:type="dxa"/>
        <w:tblLayout w:type="fixed"/>
        <w:tblLook w:val="01E0" w:firstRow="1" w:lastRow="1" w:firstColumn="1" w:lastColumn="1" w:noHBand="0" w:noVBand="0"/>
      </w:tblPr>
      <w:tblGrid>
        <w:gridCol w:w="4853"/>
        <w:gridCol w:w="4537"/>
        <w:gridCol w:w="6201"/>
      </w:tblGrid>
      <w:tr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Куратор муниципальной программы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Сазонов Николай Вячеславович</w:t>
            </w:r>
            <w:r>
              <w:rPr>
                <w:sz w:val="23"/>
                <w:szCs w:val="23"/>
              </w:rPr>
              <w:t xml:space="preserve"> – первый </w:t>
            </w:r>
            <w:r>
              <w:rPr>
                <w:sz w:val="23"/>
                <w:szCs w:val="23"/>
              </w:rPr>
              <w:t xml:space="preserve">заместитель Главы </w:t>
            </w:r>
            <w:r>
              <w:rPr>
                <w:sz w:val="23"/>
                <w:szCs w:val="23"/>
              </w:rPr>
              <w:t xml:space="preserve">Копейского</w:t>
            </w:r>
            <w:r>
              <w:rPr>
                <w:sz w:val="23"/>
                <w:szCs w:val="23"/>
              </w:rPr>
              <w:t xml:space="preserve"> городского округа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исполнитель </w:t>
            </w:r>
            <w:r>
              <w:rPr>
                <w:sz w:val="23"/>
                <w:szCs w:val="23"/>
              </w:rPr>
              <w:t xml:space="preserve">муниципальной п</w:t>
            </w:r>
            <w:r>
              <w:rPr>
                <w:sz w:val="23"/>
                <w:szCs w:val="23"/>
              </w:rPr>
              <w:t xml:space="preserve">рограммы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Копейского городского округа, отдел жилищной политики администрации Копейского городского округа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(далее – администрация КГО, отдел жилищной политики)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34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Соисполнители </w:t>
            </w:r>
            <w:r>
              <w:rPr>
                <w:sz w:val="23"/>
                <w:szCs w:val="23"/>
              </w:rPr>
              <w:t xml:space="preserve">муниципальной программы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pStyle w:val="935"/>
              <w:ind w:left="3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Структурные подразделения администрации КГО: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35"/>
              <w:numPr>
                <w:ilvl w:val="0"/>
                <w:numId w:val="40"/>
              </w:numPr>
              <w:ind w:left="176" w:firstLine="0"/>
              <w:tabs>
                <w:tab w:val="left" w:pos="46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по имуществу и земельным отношениям администрации округа (далее – УИиЗО)</w:t>
            </w:r>
            <w:r>
              <w:rPr>
                <w:sz w:val="23"/>
                <w:szCs w:val="23"/>
              </w:rPr>
              <w:t xml:space="preserve">;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35"/>
              <w:numPr>
                <w:ilvl w:val="0"/>
                <w:numId w:val="40"/>
              </w:numPr>
              <w:ind w:left="176" w:firstLine="0"/>
              <w:tabs>
                <w:tab w:val="left" w:pos="46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архитектуры и градостроительства администрации округа (далее – УАиГ)</w:t>
            </w:r>
            <w:r>
              <w:rPr>
                <w:sz w:val="23"/>
                <w:szCs w:val="23"/>
              </w:rPr>
              <w:t xml:space="preserve">;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35"/>
              <w:numPr>
                <w:ilvl w:val="0"/>
                <w:numId w:val="40"/>
              </w:numPr>
              <w:ind w:left="176" w:firstLine="0"/>
              <w:tabs>
                <w:tab w:val="left" w:pos="460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муниципальное учреждение округа «Управление строительства» (далее – МУ «Управление строительства»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3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 реализации </w:t>
            </w:r>
            <w:r>
              <w:rPr>
                <w:sz w:val="23"/>
                <w:szCs w:val="23"/>
              </w:rPr>
              <w:t xml:space="preserve">муниципальной программы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</w:t>
            </w:r>
            <w:r>
              <w:rPr>
                <w:sz w:val="23"/>
                <w:szCs w:val="23"/>
                <w:lang w:val="ru-RU"/>
              </w:rPr>
              <w:t xml:space="preserve">1</w:t>
            </w:r>
            <w:r>
              <w:rPr>
                <w:sz w:val="23"/>
                <w:szCs w:val="23"/>
              </w:rPr>
              <w:t xml:space="preserve">: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2024-2025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годы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28"/>
        </w:trPr>
        <w:tc>
          <w:tcPr>
            <w:tcBorders>
              <w:left w:val="single" w:color="000000" w:sz="4" w:space="0"/>
              <w:right w:val="single" w:color="auto" w:sz="4" w:space="0"/>
            </w:tcBorders>
            <w:tcW w:w="4853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</w:t>
            </w:r>
            <w:r>
              <w:rPr>
                <w:sz w:val="23"/>
                <w:szCs w:val="23"/>
              </w:rPr>
              <w:t xml:space="preserve">2: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2025-2026</w:t>
            </w:r>
            <w:r>
              <w:rPr>
                <w:sz w:val="23"/>
                <w:szCs w:val="23"/>
              </w:rPr>
              <w:t xml:space="preserve"> годы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3: 2026-2027 годы.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4: 2027-2028 годы.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5: 2028-2029 годы.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28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Этап 6: 2029-2030 годы.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Цели/задачи муниципальной программы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7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Цель 1: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создание безопасных и благоприятных условий проживания в округе.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  <w:lang w:eastAsia="ru-RU"/>
              </w:rPr>
              <w:t xml:space="preserve">Цель 2: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уменьшение общей площади помещений </w:t>
            </w:r>
            <w:r>
              <w:rPr>
                <w:sz w:val="23"/>
                <w:szCs w:val="23"/>
              </w:rPr>
              <w:t xml:space="preserve">в жилых домах, расположенных на территории округа и признанных с 1 января 2017 года до 1 января 2022 года в установленном порядке аварийными и подлежащими сносу или реконструкции в связи с физическим износом в п</w:t>
            </w:r>
            <w:r>
              <w:rPr>
                <w:sz w:val="23"/>
                <w:szCs w:val="23"/>
              </w:rPr>
              <w:t xml:space="preserve">роцессе </w:t>
            </w:r>
            <w:r>
              <w:rPr>
                <w:sz w:val="23"/>
                <w:szCs w:val="23"/>
              </w:rPr>
              <w:t xml:space="preserve">его эксплуатации.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  <w:lang w:eastAsia="ru-RU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  <w:lang w:eastAsia="ru-RU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01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1: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МКД.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5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7" w:type="dxa"/>
            <w:vMerge w:val="continue"/>
            <w:textDirection w:val="lrTb"/>
            <w:noWrap w:val="false"/>
          </w:tcPr>
          <w:p>
            <w:pPr>
              <w:pStyle w:val="94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6201" w:type="dxa"/>
            <w:textDirection w:val="lrTb"/>
            <w:noWrap w:val="false"/>
          </w:tcPr>
          <w:p>
            <w:pPr>
              <w:pStyle w:val="923"/>
              <w:ind w:left="0" w:firstLine="0"/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переселение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жителей МКД, признанных  аварийными и подлежащими сносу или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реконструкции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36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Подпрограммы (при наличии)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Не имеет подпрограмм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6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Объемы финансового обеспечения за весь период реализации (тыс. руб.)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30 741,61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национальными целями развития Российской Федерации/ государственной программой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38" w:type="dxa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40" w:lineRule="auto"/>
              <w:widowControl w:val="off"/>
              <w:tabs>
                <w:tab w:val="num" w:pos="1134" w:leader="none"/>
              </w:tabs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Ком</w:t>
            </w:r>
            <w:r>
              <w:rPr>
                <w:sz w:val="23"/>
                <w:szCs w:val="23"/>
              </w:rPr>
              <w:t xml:space="preserve">фортная и безопасная среда для жизни. Цифровая трансформация государственного и муниципального управления, экономики и социальной сферы. </w:t>
            </w:r>
            <w:r>
              <w:rPr>
                <w:sz w:val="23"/>
                <w:szCs w:val="23"/>
                <w:lang w:val="ru-RU"/>
              </w:rPr>
              <w:t xml:space="preserve">О</w:t>
            </w:r>
            <w:r>
              <w:rPr>
                <w:sz w:val="23"/>
                <w:szCs w:val="23"/>
              </w:rPr>
              <w:t xml:space="preserve">бластн</w:t>
            </w:r>
            <w:r>
              <w:rPr>
                <w:sz w:val="23"/>
                <w:szCs w:val="23"/>
                <w:lang w:val="ru-RU"/>
              </w:rPr>
              <w:t xml:space="preserve">ая</w:t>
            </w:r>
            <w:r>
              <w:rPr>
                <w:sz w:val="23"/>
                <w:szCs w:val="23"/>
              </w:rPr>
              <w:t xml:space="preserve"> адресная</w:t>
            </w:r>
            <w:r>
              <w:rPr>
                <w:sz w:val="23"/>
                <w:szCs w:val="23"/>
              </w:rPr>
              <w:t xml:space="preserve"> программ</w:t>
            </w:r>
            <w:r>
              <w:rPr>
                <w:sz w:val="23"/>
                <w:szCs w:val="23"/>
              </w:rPr>
              <w:t xml:space="preserve">а по переселению граждан из аварийного жилищного фонда, признанного таковым с 1 января 2017 года до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</w:rPr>
              <w:t xml:space="preserve">1 января 2022 года, в Челябинской области</w:t>
            </w:r>
            <w:r>
              <w:rPr>
                <w:sz w:val="23"/>
                <w:szCs w:val="23"/>
              </w:rPr>
              <w:t xml:space="preserve">, утвержденная постановлением Правительства Челябинской области от 2</w:t>
            </w:r>
            <w:r>
              <w:rPr>
                <w:sz w:val="23"/>
                <w:szCs w:val="23"/>
                <w:lang w:val="ru-RU"/>
              </w:rPr>
              <w:t xml:space="preserve">7</w:t>
            </w:r>
            <w:r>
              <w:rPr>
                <w:sz w:val="23"/>
                <w:szCs w:val="23"/>
              </w:rPr>
              <w:t xml:space="preserve">.06.2024</w:t>
            </w:r>
            <w:r>
              <w:rPr>
                <w:sz w:val="23"/>
                <w:szCs w:val="23"/>
              </w:rPr>
              <w:t xml:space="preserve"> № </w:t>
            </w:r>
            <w:r>
              <w:rPr>
                <w:sz w:val="23"/>
                <w:szCs w:val="23"/>
                <w:lang w:val="ru-RU"/>
              </w:rPr>
              <w:t xml:space="preserve">399</w:t>
            </w:r>
            <w:r>
              <w:rPr>
                <w:sz w:val="23"/>
                <w:szCs w:val="23"/>
              </w:rPr>
              <w:t xml:space="preserve">-П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highlight w:val="none"/>
              </w:rPr>
              <w:t xml:space="preserve">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928"/>
        <w:jc w:val="center"/>
        <w:rPr>
          <w:sz w:val="23"/>
          <w:szCs w:val="23"/>
        </w:rPr>
      </w:pPr>
      <w:r>
        <w:rPr>
          <w:sz w:val="23"/>
          <w:szCs w:val="23"/>
          <w:highlight w:val="none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928"/>
        <w:jc w:val="center"/>
        <w:rPr>
          <w:sz w:val="23"/>
          <w:szCs w:val="23"/>
          <w:highlight w:val="none"/>
        </w:rPr>
      </w:pPr>
      <w:r>
        <w:rPr>
          <w:sz w:val="23"/>
          <w:szCs w:val="23"/>
        </w:rPr>
        <w:t xml:space="preserve">2</w:t>
      </w:r>
      <w:r>
        <w:rPr>
          <w:sz w:val="23"/>
          <w:szCs w:val="23"/>
        </w:rPr>
        <w:t xml:space="preserve">. Показатели </w:t>
      </w:r>
      <w:r>
        <w:rPr>
          <w:sz w:val="23"/>
          <w:szCs w:val="23"/>
        </w:rPr>
        <w:t xml:space="preserve">муниципальной программы</w:t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5441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3002"/>
        <w:gridCol w:w="1108"/>
        <w:gridCol w:w="880"/>
        <w:gridCol w:w="1104"/>
        <w:gridCol w:w="1134"/>
        <w:gridCol w:w="1134"/>
        <w:gridCol w:w="1134"/>
        <w:gridCol w:w="1134"/>
        <w:gridCol w:w="850"/>
        <w:gridCol w:w="941"/>
        <w:gridCol w:w="1841"/>
      </w:tblGrid>
      <w:tr>
        <w:trPr>
          <w:trHeight w:val="305"/>
          <w:tblHeader/>
        </w:trPr>
        <w:tc>
          <w:tcPr>
            <w:tcW w:w="1593" w:type="dxa"/>
            <w:vAlign w:val="center"/>
            <w:vMerge w:val="restart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</w:t>
            </w:r>
            <w:r>
              <w:rPr>
                <w:sz w:val="23"/>
                <w:szCs w:val="23"/>
              </w:rPr>
              <w:br/>
              <w:t xml:space="preserve">п</w:t>
            </w:r>
            <w:r>
              <w:rPr>
                <w:sz w:val="23"/>
                <w:szCs w:val="23"/>
                <w:lang w:val="en-US"/>
              </w:rPr>
              <w:t xml:space="preserve">/</w:t>
            </w: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002" w:type="dxa"/>
            <w:vAlign w:val="center"/>
            <w:vMerge w:val="restart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Наименование показателя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8" w:type="dxa"/>
            <w:vAlign w:val="center"/>
            <w:vMerge w:val="restart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80" w:type="dxa"/>
            <w:vAlign w:val="center"/>
            <w:vMerge w:val="restart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7"/>
            <w:tcW w:w="7431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показателя по годам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41" w:type="dxa"/>
            <w:vAlign w:val="center"/>
            <w:vMerge w:val="restart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за достижение показателя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812"/>
          <w:tblHeader/>
        </w:trPr>
        <w:tc>
          <w:tcPr>
            <w:tcW w:w="1593" w:type="dxa"/>
            <w:vAlign w:val="center"/>
            <w:vMerge w:val="continue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3002" w:type="dxa"/>
            <w:vAlign w:val="center"/>
            <w:vMerge w:val="continue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108" w:type="dxa"/>
            <w:vAlign w:val="center"/>
            <w:vMerge w:val="continue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880" w:type="dxa"/>
            <w:vAlign w:val="center"/>
            <w:vMerge w:val="continue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10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2029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941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2030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41" w:type="dxa"/>
            <w:vMerge w:val="continue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258"/>
          <w:tblHeader/>
        </w:trPr>
        <w:tc>
          <w:tcPr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00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941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58"/>
        </w:trPr>
        <w:tc>
          <w:tcPr>
            <w:gridSpan w:val="12"/>
            <w:tcW w:w="15855" w:type="dxa"/>
            <w:textDirection w:val="lrTb"/>
            <w:noWrap w:val="false"/>
          </w:tcPr>
          <w:p>
            <w:pPr>
              <w:contextualSpacing/>
              <w:jc w:val="both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Цель 1: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создание безопасных и благоприятных условий проживания в округе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</w:rPr>
              <w:t xml:space="preserve">Цель 2: у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меньшение общей площади помещений </w:t>
            </w:r>
            <w:r>
              <w:rPr>
                <w:sz w:val="23"/>
                <w:szCs w:val="23"/>
              </w:rPr>
              <w:t xml:space="preserve">в жилых домах, расположенных на территории округа и признанных с 1 января 2017 года                                      до 1 января 2022 года в установленном порядке аварийными и подлежащими сносу или реконструкции в связи с физическим износом в п</w:t>
            </w:r>
            <w:r>
              <w:rPr>
                <w:sz w:val="23"/>
                <w:szCs w:val="23"/>
              </w:rPr>
              <w:t xml:space="preserve">роцессе </w:t>
            </w:r>
            <w:r>
              <w:rPr>
                <w:sz w:val="23"/>
                <w:szCs w:val="23"/>
              </w:rPr>
              <w:t xml:space="preserve">его эксплуатации.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58"/>
        </w:trPr>
        <w:tc>
          <w:tcPr>
            <w:gridSpan w:val="12"/>
            <w:tcW w:w="15855" w:type="dxa"/>
            <w:textDirection w:val="lrTb"/>
            <w:noWrap w:val="false"/>
          </w:tcPr>
          <w:p>
            <w:pPr>
              <w:pStyle w:val="928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</w:t>
            </w:r>
            <w:r>
              <w:rPr>
                <w:sz w:val="23"/>
                <w:szCs w:val="23"/>
              </w:rPr>
              <w:t xml:space="preserve"> 1: </w:t>
            </w:r>
            <w:r>
              <w:rPr>
                <w:sz w:val="23"/>
                <w:szCs w:val="23"/>
              </w:rPr>
              <w:t xml:space="preserve">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58"/>
        </w:trPr>
        <w:tc>
          <w:tcPr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002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b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8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4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0,34164</w:t>
            </w:r>
            <w:r>
              <w:rPr>
                <w:sz w:val="23"/>
                <w:szCs w:val="23"/>
              </w:rPr>
            </w:r>
          </w:p>
        </w:tc>
        <w:tc>
          <w:tcPr>
            <w:gridSpan w:val="6"/>
            <w:tcW w:w="632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35,85072</w:t>
            </w:r>
            <w:r>
              <w:rPr>
                <w:sz w:val="23"/>
                <w:szCs w:val="23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8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УИиЗО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58"/>
        </w:trPr>
        <w:tc>
          <w:tcPr>
            <w:gridSpan w:val="12"/>
            <w:tcW w:w="15855" w:type="dxa"/>
            <w:textDirection w:val="lrTb"/>
            <w:noWrap w:val="false"/>
          </w:tcPr>
          <w:p>
            <w:pPr>
              <w:pStyle w:val="928"/>
              <w:jc w:val="left"/>
              <w:rPr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Задача 2: </w:t>
            </w:r>
            <w:r>
              <w:rPr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 xml:space="preserve">Переселение жителей МКД, признанных аварийными с 1 января 2017 года до 01 января 2022 года и  подлежащими сносу или реконструкции.</w:t>
            </w:r>
            <w:r>
              <w:rPr>
                <w:b w:val="0"/>
                <w:bCs w:val="0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58"/>
        </w:trPr>
        <w:tc>
          <w:tcPr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002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квадратных метров, расселенного  аварийного жилищного фонда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4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0,2847</w:t>
            </w:r>
            <w:r>
              <w:rPr>
                <w:sz w:val="23"/>
                <w:szCs w:val="23"/>
              </w:rPr>
              <w:tab/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6"/>
            <w:tcW w:w="6327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29,8756</w:t>
            </w:r>
            <w:r>
              <w:rPr>
                <w:sz w:val="23"/>
                <w:szCs w:val="23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8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Отдел жилищной политики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65"/>
        </w:trPr>
        <w:tc>
          <w:tcPr>
            <w:tcW w:w="15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002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граждан, расселенных из аварийного жилищного фонда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тыс.чел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04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0,015</w:t>
            </w:r>
            <w:r>
              <w:rPr>
                <w:sz w:val="23"/>
                <w:szCs w:val="23"/>
              </w:rPr>
            </w:r>
          </w:p>
        </w:tc>
        <w:tc>
          <w:tcPr>
            <w:gridSpan w:val="6"/>
            <w:tcW w:w="6327" w:type="dxa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1,627</w:t>
            </w:r>
            <w:r>
              <w:rPr>
                <w:sz w:val="23"/>
                <w:szCs w:val="23"/>
              </w:rPr>
            </w:r>
          </w:p>
        </w:tc>
        <w:tc>
          <w:tcPr>
            <w:tcW w:w="1841" w:type="dxa"/>
            <w:textDirection w:val="lrTb"/>
            <w:noWrap w:val="false"/>
          </w:tcPr>
          <w:p>
            <w:pPr>
              <w:pStyle w:val="928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Отдел жилищной политики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28"/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center"/>
        <w:spacing w:after="200" w:line="276" w:lineRule="auto"/>
        <w:rPr>
          <w:sz w:val="23"/>
          <w:szCs w:val="23"/>
          <w:highlight w:val="none"/>
        </w:rPr>
      </w:pPr>
      <w:r>
        <w:rPr>
          <w:sz w:val="23"/>
          <w:szCs w:val="23"/>
          <w:highlight w:val="none"/>
        </w:rPr>
      </w:r>
      <w:r>
        <w:rPr>
          <w:sz w:val="23"/>
          <w:szCs w:val="23"/>
          <w:highlight w:val="none"/>
        </w:rPr>
      </w:r>
      <w:r>
        <w:rPr>
          <w:sz w:val="23"/>
          <w:szCs w:val="23"/>
        </w:rPr>
      </w:r>
    </w:p>
    <w:p>
      <w:pPr>
        <w:jc w:val="center"/>
        <w:spacing w:after="200" w:line="276" w:lineRule="auto"/>
        <w:rPr>
          <w:sz w:val="23"/>
          <w:szCs w:val="23"/>
          <w:highlight w:val="none"/>
        </w:rPr>
      </w:pPr>
      <w:r>
        <w:rPr>
          <w:sz w:val="23"/>
          <w:szCs w:val="23"/>
        </w:rPr>
        <w:t xml:space="preserve">3. План достижения показателей муниципальной программы в 2025 году</w:t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5404" w:type="pct"/>
        <w:tblInd w:w="-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49"/>
        <w:gridCol w:w="6215"/>
        <w:gridCol w:w="1384"/>
        <w:gridCol w:w="582"/>
        <w:gridCol w:w="471"/>
        <w:gridCol w:w="500"/>
        <w:gridCol w:w="559"/>
        <w:gridCol w:w="560"/>
        <w:gridCol w:w="564"/>
        <w:gridCol w:w="567"/>
        <w:gridCol w:w="567"/>
        <w:gridCol w:w="564"/>
        <w:gridCol w:w="567"/>
        <w:gridCol w:w="557"/>
        <w:gridCol w:w="1230"/>
      </w:tblGrid>
      <w:tr>
        <w:trPr>
          <w:trHeight w:val="300"/>
          <w:tblHeader/>
        </w:trPr>
        <w:tc>
          <w:tcPr>
            <w:tcW w:w="27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>
              <w:rPr>
                <w:sz w:val="23"/>
                <w:szCs w:val="23"/>
              </w:rPr>
              <w:t xml:space="preserve">/п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7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муниципальной программы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4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11"/>
            <w:tcW w:w="194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Плановые значения по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кварталам</w:t>
            </w:r>
            <w:r>
              <w:rPr>
                <w:sz w:val="23"/>
                <w:szCs w:val="23"/>
              </w:rPr>
              <w:t xml:space="preserve"> / месяцам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62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конец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77"/>
          <w:tblHeader/>
        </w:trPr>
        <w:tc>
          <w:tcPr>
            <w:tcW w:w="27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977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44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5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6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09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79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6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>
          <w:trHeight w:val="164"/>
          <w:tblHeader/>
        </w:trPr>
        <w:tc>
          <w:tcPr>
            <w:tcW w:w="27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7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5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6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0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1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8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79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362" w:type="pct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08"/>
        </w:trPr>
        <w:tc>
          <w:tcPr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14"/>
            <w:tcW w:w="4728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1: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создание безопасных и благоприятных условий проживания в округе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</w:rPr>
            </w:r>
          </w:p>
          <w:p>
            <w:pPr>
              <w:contextualSpacing/>
              <w:jc w:val="both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highlight w:val="none"/>
              </w:rPr>
              <w:t xml:space="preserve">Цель 2: у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меньшение общей площади помещений </w:t>
            </w:r>
            <w:r>
              <w:rPr>
                <w:sz w:val="23"/>
                <w:szCs w:val="23"/>
              </w:rPr>
              <w:t xml:space="preserve">в жилых домах, расположенных на территории округа и признанных с 1 января 2017 года до 1 января 2022 года в установленном порядке аварийными и подлежащими сносу или реконструкции в связи с физическим износом в п</w:t>
            </w:r>
            <w:r>
              <w:rPr>
                <w:sz w:val="23"/>
                <w:szCs w:val="23"/>
              </w:rPr>
              <w:t xml:space="preserve">роцессе </w:t>
            </w:r>
            <w:r>
              <w:rPr>
                <w:sz w:val="23"/>
                <w:szCs w:val="23"/>
              </w:rPr>
              <w:t xml:space="preserve">его эксплуатации.</w:t>
            </w:r>
            <w:r>
              <w:rPr>
                <w:sz w:val="23"/>
                <w:szCs w:val="23"/>
                <w:highlight w:val="none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08"/>
        </w:trPr>
        <w:tc>
          <w:tcPr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14"/>
            <w:tcW w:w="4728" w:type="pct"/>
            <w:textDirection w:val="lrTb"/>
            <w:noWrap w:val="false"/>
          </w:tcPr>
          <w:p>
            <w:pPr>
              <w:jc w:val="both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1: </w:t>
            </w:r>
            <w:r>
              <w:rPr>
                <w:sz w:val="23"/>
                <w:szCs w:val="23"/>
              </w:rPr>
              <w:t xml:space="preserve">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977" w:type="pct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квадратных метров, построенных (приобретенных) жилых помещений (квартир)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ind w:right="129" w:firstLine="127"/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442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center"/>
              <w:rPr>
                <w:color w:val="c00000"/>
                <w:sz w:val="23"/>
                <w:szCs w:val="23"/>
              </w:rPr>
            </w:pPr>
            <w:r>
              <w:rPr>
                <w:color w:val="c00000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7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52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61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79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362" w:type="pct"/>
            <w:textDirection w:val="lrTb"/>
            <w:noWrap w:val="false"/>
          </w:tcPr>
          <w:p>
            <w:pPr>
              <w:pStyle w:val="944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14"/>
            <w:shd w:val="clear" w:color="auto" w:fill="ffffff" w:themeFill="background1"/>
            <w:tcW w:w="4728" w:type="pct"/>
            <w:textDirection w:val="lrTb"/>
            <w:noWrap w:val="false"/>
          </w:tcPr>
          <w:p>
            <w:pPr>
              <w:pStyle w:val="928"/>
              <w:jc w:val="lef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color w:val="000000" w:themeColor="text1"/>
                <w:sz w:val="23"/>
                <w:szCs w:val="23"/>
              </w:rPr>
              <w:t xml:space="preserve">Задача 2: </w:t>
            </w:r>
            <w:r>
              <w:rPr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 xml:space="preserve">Переселение жителей МКД, признанных аварийными с 1 января 2017 года до 01 января 2022 года и  подлежащими сносу или реконструкции.</w:t>
            </w:r>
            <w:r>
              <w:rPr>
                <w:b w:val="0"/>
                <w:bCs w:val="0"/>
                <w:color w:val="000000"/>
                <w:sz w:val="23"/>
                <w:szCs w:val="23"/>
                <w:shd w:val="clear" w:color="auto" w:fill="ffffff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977" w:type="pc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квадратных метров, расселенного аварийного жилищного фонда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ind w:right="129" w:firstLine="127"/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442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тыс. кв. м.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7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5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6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79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36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08"/>
        </w:trPr>
        <w:tc>
          <w:tcPr>
            <w:shd w:val="clear" w:color="auto" w:fill="ffffff" w:themeFill="background1"/>
            <w:tcW w:w="27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977" w:type="pc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Количество граждан, расселенных из аварийного жилищного фонда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442" w:type="pc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тыс.чел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7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5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6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0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1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8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179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shd w:val="clear" w:color="auto" w:fill="ffffff" w:themeFill="background1"/>
            <w:tcW w:w="362" w:type="pc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4. Структура муниципальной программы</w:t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15735" w:type="dxa"/>
        <w:tblInd w:w="-459" w:type="dxa"/>
        <w:tblLook w:val="01E0" w:firstRow="1" w:lastRow="1" w:firstColumn="1" w:lastColumn="1" w:noHBand="0" w:noVBand="0"/>
      </w:tblPr>
      <w:tblGrid>
        <w:gridCol w:w="855"/>
        <w:gridCol w:w="7112"/>
        <w:gridCol w:w="5954"/>
        <w:gridCol w:w="1814"/>
      </w:tblGrid>
      <w:tr>
        <w:trPr>
          <w:trHeight w:val="491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№ п/п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Задачи структурного элемента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</w:t>
            </w:r>
            <w:r>
              <w:rPr>
                <w:sz w:val="23"/>
                <w:szCs w:val="23"/>
              </w:rPr>
              <w:t xml:space="preserve"> показателями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271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bookmarkStart w:id="2" w:name="_Hlk173180439"/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bookmarkEnd w:id="2"/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459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7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Комплекс процессных мероприятий 1: «</w:t>
            </w:r>
            <w:r>
              <w:rPr>
                <w:sz w:val="23"/>
                <w:szCs w:val="23"/>
              </w:rPr>
              <w:t xml:space="preserve">Переселение граждан из аварийного жилищного фонда, признанного таковым в период с 1 января 2017 года                           до 1 января 2022 года, в Копейском городском округе</w:t>
            </w:r>
            <w:r>
              <w:rPr>
                <w:sz w:val="23"/>
                <w:szCs w:val="23"/>
              </w:rPr>
              <w:t xml:space="preserve">»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39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7967" w:type="dxa"/>
            <w:vAlign w:val="center"/>
            <w:textDirection w:val="lrTb"/>
            <w:noWrap w:val="false"/>
          </w:tcPr>
          <w:p>
            <w:pPr>
              <w:pStyle w:val="935"/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Саевская Инна Дмитриевна, начальник отдела жилищной политики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sz w:val="23"/>
                <w:szCs w:val="23"/>
                <w:highlight w:val="none"/>
              </w:rPr>
            </w:pPr>
            <w:r>
              <w:rPr>
                <w:sz w:val="23"/>
                <w:szCs w:val="23"/>
              </w:rPr>
              <w:t xml:space="preserve">Буркова Жанна Андреевна , начальник УИиЗО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77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2024-2030 гг.</w:t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794"/>
        </w:trPr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5" w:type="dxa"/>
            <w:vMerge w:val="restart"/>
            <w:textDirection w:val="lrTb"/>
            <w:noWrap w:val="false"/>
          </w:tcPr>
          <w:p>
            <w:pPr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2" w:type="dxa"/>
            <w:vMerge w:val="restart"/>
            <w:textDirection w:val="lrTb"/>
            <w:noWrap w:val="false"/>
          </w:tcPr>
          <w:p>
            <w:pPr>
              <w:jc w:val="both"/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1: </w:t>
            </w:r>
            <w:r>
              <w:rPr>
                <w:sz w:val="23"/>
                <w:szCs w:val="23"/>
              </w:rPr>
              <w:t xml:space="preserve">Ф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жилищного фонда, необходимого для переселения граждан из аварийного жилищного фонда. Обеспеч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ение жилищных прав граждан, проживающих в жилых помещениях муниципального жилищного фонда, находящихся в аварийных многоквартирных домах. Обеспечение жилищных прав собственников изымаемых жилых помещений, находящихся в аварийных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МКД.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Приобретение достаточного количества жилых помещений (квартир) для расселения аварийных МКД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color w:val="c00000"/>
                <w:sz w:val="23"/>
                <w:szCs w:val="23"/>
              </w:rPr>
            </w:pPr>
            <w:r>
              <w:rPr>
                <w:color w:val="c00000"/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8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855" w:type="dxa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2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2: </w:t>
            </w:r>
            <w:r>
              <w:rPr>
                <w:b w:val="0"/>
                <w:bCs w:val="0"/>
                <w:color w:val="000000" w:themeColor="text1"/>
                <w:sz w:val="23"/>
                <w:szCs w:val="23"/>
                <w:shd w:val="clear" w:color="auto" w:fill="ffffff"/>
              </w:rPr>
              <w:t xml:space="preserve">Переселение жителей МКД, признанных аварийными с 1 января 2017 года до 01 января 2022 года и  подлежащими сносу или реконструкции.</w:t>
            </w:r>
            <w:r>
              <w:rPr>
                <w:color w:val="000000" w:themeColor="text1"/>
                <w:sz w:val="23"/>
                <w:szCs w:val="23"/>
                <w:shd w:val="clear" w:color="auto" w:fill="ffffff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Снижение объема жилищного фонда, признанного </w:t>
            </w:r>
            <w:r>
              <w:rPr>
                <w:sz w:val="23"/>
                <w:szCs w:val="23"/>
              </w:rPr>
              <w:t xml:space="preserve"> таковым в период с 1 января 2017 года до 1 января 2022 года, в Копейском городском округе.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  <w:highlight w:val="none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1.2.1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none"/>
                <w:shd w:val="clear" w:color="auto" w:fill="ffffff"/>
              </w:rPr>
              <w:t xml:space="preserve">1.2.2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  <w:t xml:space="preserve">5. Финансовое обеспечение муниципальной программы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tbl>
      <w:tblPr>
        <w:tblW w:w="5442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55"/>
        <w:gridCol w:w="2538"/>
        <w:gridCol w:w="1965"/>
        <w:gridCol w:w="1721"/>
        <w:gridCol w:w="1417"/>
        <w:gridCol w:w="1417"/>
        <w:gridCol w:w="1276"/>
        <w:gridCol w:w="1276"/>
        <w:gridCol w:w="1276"/>
        <w:gridCol w:w="1134"/>
        <w:gridCol w:w="1084"/>
      </w:tblGrid>
      <w:tr>
        <w:trPr>
          <w:trHeight w:val="193"/>
          <w:tblHeader/>
        </w:trPr>
        <w:tc>
          <w:tcPr>
            <w:gridSpan w:val="2"/>
            <w:tcW w:w="32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 финансового обеспечения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65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Ответственный исполнитель / соисполнитель 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gridSpan w:val="8"/>
            <w:tcW w:w="1060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финансового обеспечения по годам реализации, тыс. рублей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93"/>
          <w:tblHeader/>
        </w:trPr>
        <w:tc>
          <w:tcPr>
            <w:gridSpan w:val="2"/>
            <w:tcW w:w="32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08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93"/>
          <w:tblHeader/>
        </w:trPr>
        <w:tc>
          <w:tcPr>
            <w:gridSpan w:val="2"/>
            <w:tcW w:w="32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6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721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8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9</w:t>
            </w:r>
            <w:r>
              <w:rPr>
                <w:sz w:val="23"/>
                <w:szCs w:val="23"/>
              </w:rPr>
            </w:r>
          </w:p>
        </w:tc>
        <w:tc>
          <w:tcPr>
            <w:tcW w:w="108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ru-RU"/>
              </w:rPr>
              <w:t xml:space="preserve">10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634"/>
        </w:trPr>
        <w:tc>
          <w:tcPr>
            <w:gridSpan w:val="11"/>
            <w:tcW w:w="15858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r>
              <w:rPr>
                <w:sz w:val="23"/>
                <w:szCs w:val="23"/>
              </w:rPr>
              <w:t xml:space="preserve">КПМ</w:t>
            </w:r>
            <w:r>
              <w:rPr>
                <w:sz w:val="23"/>
                <w:szCs w:val="23"/>
              </w:rPr>
              <w:t xml:space="preserve">:</w:t>
            </w:r>
            <w:r>
              <w:rPr>
                <w:sz w:val="23"/>
                <w:szCs w:val="23"/>
              </w:rPr>
              <w:t xml:space="preserve"> «</w:t>
            </w:r>
            <w:r>
              <w:rPr>
                <w:sz w:val="23"/>
                <w:szCs w:val="23"/>
              </w:rPr>
              <w:t xml:space="preserve">Переселение граждан из аварийного жилищного фонда, признанного таковым в период с 1 января 2017 года до 1 января 2022 года, в Копейском городском округе</w:t>
            </w:r>
            <w:r>
              <w:rPr>
                <w:sz w:val="23"/>
                <w:szCs w:val="23"/>
              </w:rPr>
              <w:t xml:space="preserve">»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347"/>
        </w:trPr>
        <w:tc>
          <w:tcPr>
            <w:tcW w:w="75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38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Всего, в </w:t>
            </w:r>
            <w:r>
              <w:rPr>
                <w:sz w:val="23"/>
                <w:szCs w:val="23"/>
              </w:rPr>
              <w:t xml:space="preserve">т.ч</w:t>
            </w:r>
            <w:r>
              <w:rPr>
                <w:sz w:val="23"/>
                <w:szCs w:val="23"/>
              </w:rPr>
              <w:t xml:space="preserve">.: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65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УИиЗО, отдел жилищной политики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721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30 741,61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084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30741,61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93"/>
        </w:trPr>
        <w:tc>
          <w:tcPr>
            <w:tcW w:w="755" w:type="dxa"/>
            <w:vMerge w:val="restart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38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Средства Фонда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/>
          </w:p>
        </w:tc>
        <w:tc>
          <w:tcPr>
            <w:tcW w:w="1721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29 482,44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084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29482,44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93"/>
        </w:trPr>
        <w:tc>
          <w:tcPr>
            <w:tcW w:w="75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38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Областной бюджет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721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1 228,46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084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1228,46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  <w:tr>
        <w:trPr>
          <w:trHeight w:val="193"/>
        </w:trPr>
        <w:tc>
          <w:tcPr>
            <w:tcW w:w="755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2538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Местный бюджет 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965" w:type="dxa"/>
            <w:vMerge w:val="continue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W w:w="1721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30,71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</w:t>
            </w:r>
            <w:r>
              <w:rPr>
                <w:sz w:val="23"/>
                <w:szCs w:val="23"/>
              </w:rPr>
            </w:r>
          </w:p>
        </w:tc>
        <w:tc>
          <w:tcPr>
            <w:tcW w:w="1084" w:type="dxa"/>
            <w:textDirection w:val="lrTb"/>
            <w:noWrap w:val="false"/>
          </w:tcPr>
          <w:p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30,71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color w:val="ff0000"/>
          <w:sz w:val="23"/>
          <w:szCs w:val="23"/>
        </w:rPr>
      </w:pPr>
      <w:r>
        <w:rPr>
          <w:color w:val="ff0000"/>
          <w:sz w:val="23"/>
          <w:szCs w:val="23"/>
        </w:rPr>
      </w:r>
      <w:r>
        <w:rPr>
          <w:sz w:val="23"/>
          <w:szCs w:val="23"/>
        </w:rPr>
      </w:r>
    </w:p>
    <w:sectPr>
      <w:headerReference w:type="default" r:id="rId9"/>
      <w:footnotePr/>
      <w:endnotePr/>
      <w:type w:val="nextPage"/>
      <w:pgSz w:w="16838" w:h="11906" w:orient="landscape"/>
      <w:pgMar w:top="426" w:right="1134" w:bottom="426" w:left="1134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63567296"/>
      <w:docPartObj>
        <w:docPartGallery w:val="Page Numbers (Top of Page)"/>
        <w:docPartUnique w:val="true"/>
      </w:docPartObj>
      <w:rPr/>
    </w:sdtPr>
    <w:sdtContent>
      <w:p>
        <w:pPr>
          <w:pStyle w:val="930"/>
          <w:jc w:val="center"/>
        </w:pPr>
        <w:r>
          <w:instrText xml:space="preserve">PAGE </w:instrText>
        </w:r>
        <w:r/>
      </w:p>
    </w:sdtContent>
  </w:sdt>
  <w:p>
    <w:pPr>
      <w:pStyle w:val="93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3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3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23"/>
        <w:ind w:left="2149" w:hanging="360"/>
        <w:tabs>
          <w:tab w:val="num" w:pos="0" w:leader="none"/>
        </w:tabs>
      </w:pPr>
      <w:rPr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4"/>
  </w:num>
  <w:num w:numId="3">
    <w:abstractNumId w:val="23"/>
  </w:num>
  <w:num w:numId="4">
    <w:abstractNumId w:val="1"/>
  </w:num>
  <w:num w:numId="5">
    <w:abstractNumId w:val="36"/>
  </w:num>
  <w:num w:numId="6">
    <w:abstractNumId w:val="12"/>
  </w:num>
  <w:num w:numId="7">
    <w:abstractNumId w:val="4"/>
  </w:num>
  <w:num w:numId="8">
    <w:abstractNumId w:val="20"/>
  </w:num>
  <w:num w:numId="9">
    <w:abstractNumId w:val="32"/>
  </w:num>
  <w:num w:numId="10">
    <w:abstractNumId w:val="13"/>
  </w:num>
  <w:num w:numId="11">
    <w:abstractNumId w:val="39"/>
  </w:num>
  <w:num w:numId="12">
    <w:abstractNumId w:val="26"/>
  </w:num>
  <w:num w:numId="13">
    <w:abstractNumId w:val="2"/>
  </w:num>
  <w:num w:numId="14">
    <w:abstractNumId w:val="37"/>
  </w:num>
  <w:num w:numId="15">
    <w:abstractNumId w:val="28"/>
  </w:num>
  <w:num w:numId="16">
    <w:abstractNumId w:val="21"/>
  </w:num>
  <w:num w:numId="17">
    <w:abstractNumId w:val="17"/>
  </w:num>
  <w:num w:numId="18">
    <w:abstractNumId w:val="35"/>
  </w:num>
  <w:num w:numId="19">
    <w:abstractNumId w:val="15"/>
  </w:num>
  <w:num w:numId="20">
    <w:abstractNumId w:val="5"/>
  </w:num>
  <w:num w:numId="21">
    <w:abstractNumId w:val="18"/>
  </w:num>
  <w:num w:numId="22">
    <w:abstractNumId w:val="33"/>
  </w:num>
  <w:num w:numId="23">
    <w:abstractNumId w:val="10"/>
  </w:num>
  <w:num w:numId="24">
    <w:abstractNumId w:val="14"/>
  </w:num>
  <w:num w:numId="25">
    <w:abstractNumId w:val="38"/>
  </w:num>
  <w:num w:numId="26">
    <w:abstractNumId w:val="31"/>
  </w:num>
  <w:num w:numId="27">
    <w:abstractNumId w:val="0"/>
  </w:num>
  <w:num w:numId="28">
    <w:abstractNumId w:val="30"/>
  </w:num>
  <w:num w:numId="29">
    <w:abstractNumId w:val="19"/>
  </w:num>
  <w:num w:numId="30">
    <w:abstractNumId w:val="8"/>
  </w:num>
  <w:num w:numId="31">
    <w:abstractNumId w:val="22"/>
  </w:num>
  <w:num w:numId="32">
    <w:abstractNumId w:val="9"/>
  </w:num>
  <w:num w:numId="33">
    <w:abstractNumId w:val="16"/>
  </w:num>
  <w:num w:numId="34">
    <w:abstractNumId w:val="27"/>
  </w:num>
  <w:num w:numId="35">
    <w:abstractNumId w:val="6"/>
  </w:num>
  <w:num w:numId="36">
    <w:abstractNumId w:val="7"/>
  </w:num>
  <w:num w:numId="37">
    <w:abstractNumId w:val="34"/>
  </w:num>
  <w:num w:numId="38">
    <w:abstractNumId w:val="11"/>
  </w:num>
  <w:num w:numId="39">
    <w:abstractNumId w:val="29"/>
  </w:num>
  <w:num w:numId="40">
    <w:abstractNumId w:val="25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Heading 1 Char"/>
    <w:basedOn w:val="925"/>
    <w:link w:val="924"/>
    <w:uiPriority w:val="9"/>
    <w:rPr>
      <w:rFonts w:ascii="Arial" w:hAnsi="Arial" w:eastAsia="Arial" w:cs="Arial"/>
      <w:sz w:val="40"/>
      <w:szCs w:val="40"/>
    </w:rPr>
  </w:style>
  <w:style w:type="paragraph" w:styleId="755">
    <w:name w:val="Heading 2"/>
    <w:basedOn w:val="923"/>
    <w:next w:val="923"/>
    <w:link w:val="75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6">
    <w:name w:val="Heading 2 Char"/>
    <w:basedOn w:val="925"/>
    <w:link w:val="755"/>
    <w:uiPriority w:val="9"/>
    <w:rPr>
      <w:rFonts w:ascii="Arial" w:hAnsi="Arial" w:eastAsia="Arial" w:cs="Arial"/>
      <w:sz w:val="34"/>
    </w:rPr>
  </w:style>
  <w:style w:type="paragraph" w:styleId="757">
    <w:name w:val="Heading 3"/>
    <w:basedOn w:val="923"/>
    <w:next w:val="923"/>
    <w:link w:val="7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8">
    <w:name w:val="Heading 3 Char"/>
    <w:basedOn w:val="925"/>
    <w:link w:val="757"/>
    <w:uiPriority w:val="9"/>
    <w:rPr>
      <w:rFonts w:ascii="Arial" w:hAnsi="Arial" w:eastAsia="Arial" w:cs="Arial"/>
      <w:sz w:val="30"/>
      <w:szCs w:val="30"/>
    </w:rPr>
  </w:style>
  <w:style w:type="paragraph" w:styleId="759">
    <w:name w:val="Heading 4"/>
    <w:basedOn w:val="923"/>
    <w:next w:val="923"/>
    <w:link w:val="7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5"/>
    <w:link w:val="759"/>
    <w:uiPriority w:val="9"/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923"/>
    <w:next w:val="923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2">
    <w:name w:val="Heading 5 Char"/>
    <w:basedOn w:val="925"/>
    <w:link w:val="761"/>
    <w:uiPriority w:val="9"/>
    <w:rPr>
      <w:rFonts w:ascii="Arial" w:hAnsi="Arial" w:eastAsia="Arial" w:cs="Arial"/>
      <w:b/>
      <w:bCs/>
      <w:sz w:val="24"/>
      <w:szCs w:val="24"/>
    </w:rPr>
  </w:style>
  <w:style w:type="paragraph" w:styleId="763">
    <w:name w:val="Heading 6"/>
    <w:basedOn w:val="923"/>
    <w:next w:val="923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4">
    <w:name w:val="Heading 6 Char"/>
    <w:basedOn w:val="925"/>
    <w:link w:val="763"/>
    <w:uiPriority w:val="9"/>
    <w:rPr>
      <w:rFonts w:ascii="Arial" w:hAnsi="Arial" w:eastAsia="Arial" w:cs="Arial"/>
      <w:b/>
      <w:bCs/>
      <w:sz w:val="22"/>
      <w:szCs w:val="22"/>
    </w:rPr>
  </w:style>
  <w:style w:type="paragraph" w:styleId="765">
    <w:name w:val="Heading 7"/>
    <w:basedOn w:val="923"/>
    <w:next w:val="923"/>
    <w:link w:val="7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6">
    <w:name w:val="Heading 7 Char"/>
    <w:basedOn w:val="925"/>
    <w:link w:val="7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7">
    <w:name w:val="Heading 8"/>
    <w:basedOn w:val="923"/>
    <w:next w:val="923"/>
    <w:link w:val="7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8">
    <w:name w:val="Heading 8 Char"/>
    <w:basedOn w:val="925"/>
    <w:link w:val="767"/>
    <w:uiPriority w:val="9"/>
    <w:rPr>
      <w:rFonts w:ascii="Arial" w:hAnsi="Arial" w:eastAsia="Arial" w:cs="Arial"/>
      <w:i/>
      <w:iCs/>
      <w:sz w:val="22"/>
      <w:szCs w:val="22"/>
    </w:rPr>
  </w:style>
  <w:style w:type="paragraph" w:styleId="769">
    <w:name w:val="Heading 9"/>
    <w:basedOn w:val="923"/>
    <w:next w:val="923"/>
    <w:link w:val="7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0">
    <w:name w:val="Heading 9 Char"/>
    <w:basedOn w:val="925"/>
    <w:link w:val="769"/>
    <w:uiPriority w:val="9"/>
    <w:rPr>
      <w:rFonts w:ascii="Arial" w:hAnsi="Arial" w:eastAsia="Arial" w:cs="Arial"/>
      <w:i/>
      <w:iCs/>
      <w:sz w:val="21"/>
      <w:szCs w:val="21"/>
    </w:rPr>
  </w:style>
  <w:style w:type="paragraph" w:styleId="771">
    <w:name w:val="Title"/>
    <w:basedOn w:val="923"/>
    <w:next w:val="923"/>
    <w:link w:val="7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2">
    <w:name w:val="Title Char"/>
    <w:basedOn w:val="925"/>
    <w:link w:val="771"/>
    <w:uiPriority w:val="10"/>
    <w:rPr>
      <w:sz w:val="48"/>
      <w:szCs w:val="48"/>
    </w:rPr>
  </w:style>
  <w:style w:type="paragraph" w:styleId="773">
    <w:name w:val="Subtitle"/>
    <w:basedOn w:val="923"/>
    <w:next w:val="923"/>
    <w:link w:val="774"/>
    <w:uiPriority w:val="11"/>
    <w:qFormat/>
    <w:pPr>
      <w:spacing w:before="200" w:after="200"/>
    </w:pPr>
    <w:rPr>
      <w:sz w:val="24"/>
      <w:szCs w:val="24"/>
    </w:rPr>
  </w:style>
  <w:style w:type="character" w:styleId="774">
    <w:name w:val="Subtitle Char"/>
    <w:basedOn w:val="925"/>
    <w:link w:val="773"/>
    <w:uiPriority w:val="11"/>
    <w:rPr>
      <w:sz w:val="24"/>
      <w:szCs w:val="24"/>
    </w:rPr>
  </w:style>
  <w:style w:type="paragraph" w:styleId="775">
    <w:name w:val="Quote"/>
    <w:basedOn w:val="923"/>
    <w:next w:val="923"/>
    <w:link w:val="776"/>
    <w:uiPriority w:val="29"/>
    <w:qFormat/>
    <w:pPr>
      <w:ind w:left="720" w:right="720"/>
    </w:pPr>
    <w:rPr>
      <w:i/>
    </w:rPr>
  </w:style>
  <w:style w:type="character" w:styleId="776">
    <w:name w:val="Quote Char"/>
    <w:link w:val="775"/>
    <w:uiPriority w:val="29"/>
    <w:rPr>
      <w:i/>
    </w:rPr>
  </w:style>
  <w:style w:type="paragraph" w:styleId="777">
    <w:name w:val="Intense Quote"/>
    <w:basedOn w:val="923"/>
    <w:next w:val="923"/>
    <w:link w:val="7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8">
    <w:name w:val="Intense Quote Char"/>
    <w:link w:val="777"/>
    <w:uiPriority w:val="30"/>
    <w:rPr>
      <w:i/>
    </w:rPr>
  </w:style>
  <w:style w:type="character" w:styleId="779">
    <w:name w:val="Header Char"/>
    <w:basedOn w:val="925"/>
    <w:link w:val="930"/>
    <w:uiPriority w:val="99"/>
  </w:style>
  <w:style w:type="character" w:styleId="780">
    <w:name w:val="Footer Char"/>
    <w:basedOn w:val="925"/>
    <w:link w:val="936"/>
    <w:uiPriority w:val="99"/>
  </w:style>
  <w:style w:type="paragraph" w:styleId="781">
    <w:name w:val="Caption"/>
    <w:basedOn w:val="923"/>
    <w:next w:val="9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>
    <w:name w:val="Caption Char"/>
    <w:basedOn w:val="781"/>
    <w:link w:val="936"/>
    <w:uiPriority w:val="99"/>
  </w:style>
  <w:style w:type="table" w:styleId="783">
    <w:name w:val="Table Grid Light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>
    <w:name w:val="Plain Table 1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2"/>
    <w:basedOn w:val="9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7">
    <w:name w:val="Plain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Plain Table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9">
    <w:name w:val="Grid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1">
    <w:name w:val="Grid Table 4 - Accent 1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2">
    <w:name w:val="Grid Table 4 - Accent 2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Grid Table 4 - Accent 3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4">
    <w:name w:val="Grid Table 4 - Accent 4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Grid Table 4 - Accent 5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6">
    <w:name w:val="Grid Table 4 - Accent 6"/>
    <w:basedOn w:val="9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7">
    <w:name w:val="Grid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4">
    <w:name w:val="Grid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5">
    <w:name w:val="Grid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6">
    <w:name w:val="Grid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7">
    <w:name w:val="Grid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8">
    <w:name w:val="Grid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9">
    <w:name w:val="Grid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1">
    <w:name w:val="Grid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6">
    <w:name w:val="List Table 2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7">
    <w:name w:val="List Table 2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8">
    <w:name w:val="List Table 2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9">
    <w:name w:val="List Table 2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0">
    <w:name w:val="List Table 2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1">
    <w:name w:val="List Table 2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2">
    <w:name w:val="List Table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5 Dark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6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4">
    <w:name w:val="List Table 6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5">
    <w:name w:val="List Table 6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6">
    <w:name w:val="List Table 6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7">
    <w:name w:val="List Table 6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8">
    <w:name w:val="List Table 6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9">
    <w:name w:val="List Table 6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0">
    <w:name w:val="List Table 7 Colorful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1">
    <w:name w:val="List Table 7 Colorful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2">
    <w:name w:val="List Table 7 Colorful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3">
    <w:name w:val="List Table 7 Colorful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4">
    <w:name w:val="List Table 7 Colorful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5">
    <w:name w:val="List Table 7 Colorful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6">
    <w:name w:val="List Table 7 Colorful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7">
    <w:name w:val="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9">
    <w:name w:val="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0">
    <w:name w:val="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1">
    <w:name w:val="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2">
    <w:name w:val="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3">
    <w:name w:val="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4">
    <w:name w:val="Bordered &amp; Lined - Accent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Bordered &amp; Lined - Accent 1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6">
    <w:name w:val="Bordered &amp; Lined - Accent 2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7">
    <w:name w:val="Bordered &amp; Lined - Accent 3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8">
    <w:name w:val="Bordered &amp; Lined - Accent 4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9">
    <w:name w:val="Bordered &amp; Lined - Accent 5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0">
    <w:name w:val="Bordered &amp; Lined - Accent 6"/>
    <w:basedOn w:val="9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1">
    <w:name w:val="Bordered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2">
    <w:name w:val="Bordered - Accent 1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3">
    <w:name w:val="Bordered - Accent 2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4">
    <w:name w:val="Bordered - Accent 3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5">
    <w:name w:val="Bordered - Accent 4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6">
    <w:name w:val="Bordered - Accent 5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7">
    <w:name w:val="Bordered - Accent 6"/>
    <w:basedOn w:val="9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8">
    <w:name w:val="Footnote Text Char"/>
    <w:link w:val="939"/>
    <w:uiPriority w:val="99"/>
    <w:rPr>
      <w:sz w:val="18"/>
    </w:rPr>
  </w:style>
  <w:style w:type="paragraph" w:styleId="909">
    <w:name w:val="endnote text"/>
    <w:basedOn w:val="923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basedOn w:val="925"/>
    <w:uiPriority w:val="99"/>
    <w:semiHidden/>
    <w:unhideWhenUsed/>
    <w:rPr>
      <w:vertAlign w:val="superscript"/>
    </w:rPr>
  </w:style>
  <w:style w:type="paragraph" w:styleId="912">
    <w:name w:val="toc 1"/>
    <w:basedOn w:val="923"/>
    <w:next w:val="923"/>
    <w:uiPriority w:val="39"/>
    <w:unhideWhenUsed/>
    <w:pPr>
      <w:ind w:left="0" w:right="0" w:firstLine="0"/>
      <w:spacing w:after="57"/>
    </w:pPr>
  </w:style>
  <w:style w:type="paragraph" w:styleId="913">
    <w:name w:val="toc 2"/>
    <w:basedOn w:val="923"/>
    <w:next w:val="923"/>
    <w:uiPriority w:val="39"/>
    <w:unhideWhenUsed/>
    <w:pPr>
      <w:ind w:left="283" w:right="0" w:firstLine="0"/>
      <w:spacing w:after="57"/>
    </w:pPr>
  </w:style>
  <w:style w:type="paragraph" w:styleId="914">
    <w:name w:val="toc 3"/>
    <w:basedOn w:val="923"/>
    <w:next w:val="923"/>
    <w:uiPriority w:val="39"/>
    <w:unhideWhenUsed/>
    <w:pPr>
      <w:ind w:left="567" w:right="0" w:firstLine="0"/>
      <w:spacing w:after="57"/>
    </w:pPr>
  </w:style>
  <w:style w:type="paragraph" w:styleId="915">
    <w:name w:val="toc 4"/>
    <w:basedOn w:val="923"/>
    <w:next w:val="923"/>
    <w:uiPriority w:val="39"/>
    <w:unhideWhenUsed/>
    <w:pPr>
      <w:ind w:left="850" w:right="0" w:firstLine="0"/>
      <w:spacing w:after="57"/>
    </w:pPr>
  </w:style>
  <w:style w:type="paragraph" w:styleId="916">
    <w:name w:val="toc 5"/>
    <w:basedOn w:val="923"/>
    <w:next w:val="923"/>
    <w:uiPriority w:val="39"/>
    <w:unhideWhenUsed/>
    <w:pPr>
      <w:ind w:left="1134" w:right="0" w:firstLine="0"/>
      <w:spacing w:after="57"/>
    </w:pPr>
  </w:style>
  <w:style w:type="paragraph" w:styleId="917">
    <w:name w:val="toc 6"/>
    <w:basedOn w:val="923"/>
    <w:next w:val="923"/>
    <w:uiPriority w:val="39"/>
    <w:unhideWhenUsed/>
    <w:pPr>
      <w:ind w:left="1417" w:right="0" w:firstLine="0"/>
      <w:spacing w:after="57"/>
    </w:pPr>
  </w:style>
  <w:style w:type="paragraph" w:styleId="918">
    <w:name w:val="toc 7"/>
    <w:basedOn w:val="923"/>
    <w:next w:val="923"/>
    <w:uiPriority w:val="39"/>
    <w:unhideWhenUsed/>
    <w:pPr>
      <w:ind w:left="1701" w:right="0" w:firstLine="0"/>
      <w:spacing w:after="57"/>
    </w:pPr>
  </w:style>
  <w:style w:type="paragraph" w:styleId="919">
    <w:name w:val="toc 8"/>
    <w:basedOn w:val="923"/>
    <w:next w:val="923"/>
    <w:uiPriority w:val="39"/>
    <w:unhideWhenUsed/>
    <w:pPr>
      <w:ind w:left="1984" w:right="0" w:firstLine="0"/>
      <w:spacing w:after="57"/>
    </w:pPr>
  </w:style>
  <w:style w:type="paragraph" w:styleId="920">
    <w:name w:val="toc 9"/>
    <w:basedOn w:val="923"/>
    <w:next w:val="923"/>
    <w:uiPriority w:val="39"/>
    <w:unhideWhenUsed/>
    <w:pPr>
      <w:ind w:left="2268" w:right="0" w:firstLine="0"/>
      <w:spacing w:after="57"/>
    </w:pPr>
  </w:style>
  <w:style w:type="paragraph" w:styleId="921">
    <w:name w:val="TOC Heading"/>
    <w:uiPriority w:val="39"/>
    <w:unhideWhenUsed/>
  </w:style>
  <w:style w:type="paragraph" w:styleId="922">
    <w:name w:val="table of figures"/>
    <w:basedOn w:val="923"/>
    <w:next w:val="923"/>
    <w:uiPriority w:val="99"/>
    <w:unhideWhenUsed/>
    <w:pPr>
      <w:spacing w:after="0" w:afterAutospacing="0"/>
    </w:pPr>
  </w:style>
  <w:style w:type="paragraph" w:styleId="92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>
    <w:name w:val="Heading 1"/>
    <w:basedOn w:val="923"/>
    <w:next w:val="923"/>
    <w:link w:val="938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paragraph" w:styleId="928">
    <w:name w:val="Body Text"/>
    <w:basedOn w:val="923"/>
    <w:link w:val="929"/>
    <w:pPr>
      <w:jc w:val="both"/>
    </w:pPr>
    <w:rPr>
      <w:sz w:val="20"/>
      <w:szCs w:val="20"/>
    </w:rPr>
  </w:style>
  <w:style w:type="character" w:styleId="929" w:customStyle="1">
    <w:name w:val="Основной текст Знак"/>
    <w:basedOn w:val="925"/>
    <w:link w:val="92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0">
    <w:name w:val="Header"/>
    <w:basedOn w:val="923"/>
    <w:link w:val="931"/>
    <w:uiPriority w:val="99"/>
    <w:pPr>
      <w:tabs>
        <w:tab w:val="center" w:pos="4677" w:leader="none"/>
        <w:tab w:val="right" w:pos="9355" w:leader="none"/>
      </w:tabs>
    </w:pPr>
  </w:style>
  <w:style w:type="character" w:styleId="931" w:customStyle="1">
    <w:name w:val="Верхний колонтитул Знак"/>
    <w:basedOn w:val="925"/>
    <w:link w:val="93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2">
    <w:name w:val="Balloon Text"/>
    <w:basedOn w:val="923"/>
    <w:link w:val="933"/>
    <w:uiPriority w:val="99"/>
    <w:semiHidden/>
    <w:unhideWhenUsed/>
    <w:rPr>
      <w:rFonts w:ascii="Tahoma" w:hAnsi="Tahoma" w:cs="Tahoma"/>
      <w:sz w:val="16"/>
      <w:szCs w:val="16"/>
    </w:rPr>
  </w:style>
  <w:style w:type="character" w:styleId="933" w:customStyle="1">
    <w:name w:val="Текст выноски Знак"/>
    <w:basedOn w:val="925"/>
    <w:link w:val="93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34" w:customStyle="1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935">
    <w:name w:val="List Paragraph"/>
    <w:basedOn w:val="923"/>
    <w:uiPriority w:val="34"/>
    <w:qFormat/>
    <w:pPr>
      <w:contextualSpacing/>
      <w:ind w:left="720"/>
    </w:pPr>
  </w:style>
  <w:style w:type="paragraph" w:styleId="936">
    <w:name w:val="Footer"/>
    <w:basedOn w:val="923"/>
    <w:link w:val="9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7" w:customStyle="1">
    <w:name w:val="Нижний колонтитул Знак"/>
    <w:basedOn w:val="925"/>
    <w:link w:val="93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8" w:customStyle="1">
    <w:name w:val="Заголовок 1 Знак"/>
    <w:basedOn w:val="925"/>
    <w:link w:val="924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939">
    <w:name w:val="footnote text"/>
    <w:basedOn w:val="923"/>
    <w:link w:val="940"/>
    <w:uiPriority w:val="99"/>
    <w:unhideWhenUsed/>
    <w:pPr>
      <w:spacing w:after="160" w:line="259" w:lineRule="auto"/>
    </w:pPr>
    <w:rPr>
      <w:rFonts w:asciiTheme="minorHAnsi" w:hAnsiTheme="minorHAnsi" w:eastAsiaTheme="minorEastAsia"/>
      <w:sz w:val="20"/>
      <w:szCs w:val="20"/>
    </w:rPr>
  </w:style>
  <w:style w:type="character" w:styleId="940" w:customStyle="1">
    <w:name w:val="Текст сноски Знак"/>
    <w:basedOn w:val="925"/>
    <w:link w:val="939"/>
    <w:uiPriority w:val="99"/>
    <w:rPr>
      <w:rFonts w:cs="Times New Roman" w:eastAsiaTheme="minorEastAsia"/>
      <w:sz w:val="20"/>
      <w:szCs w:val="20"/>
      <w:lang w:eastAsia="ru-RU"/>
    </w:rPr>
  </w:style>
  <w:style w:type="character" w:styleId="941">
    <w:name w:val="footnote reference"/>
    <w:basedOn w:val="925"/>
    <w:uiPriority w:val="99"/>
    <w:unhideWhenUsed/>
    <w:rPr>
      <w:rFonts w:cs="Times New Roman"/>
      <w:vertAlign w:val="superscript"/>
    </w:rPr>
  </w:style>
  <w:style w:type="table" w:styleId="942">
    <w:name w:val="Table Grid"/>
    <w:basedOn w:val="92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43" w:customStyle="1">
    <w:name w:val="fontstyle01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styleId="94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5">
    <w:name w:val="Hyperlink"/>
    <w:basedOn w:val="925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9457-A192-48DB-A52A-8D1A8B9E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n.babyrina</dc:creator>
  <cp:keywords/>
  <dc:description/>
  <cp:revision>130</cp:revision>
  <dcterms:created xsi:type="dcterms:W3CDTF">2024-07-29T15:14:00Z</dcterms:created>
  <dcterms:modified xsi:type="dcterms:W3CDTF">2024-10-10T05:47:47Z</dcterms:modified>
</cp:coreProperties>
</file>